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Fonts w:hint="eastAsia" w:ascii="微软雅黑" w:hAnsi="微软雅黑" w:eastAsia="微软雅黑" w:cs="微软雅黑"/>
          <w:b/>
          <w:bCs/>
          <w:i w:val="0"/>
          <w:iCs w:val="0"/>
          <w:caps w:val="0"/>
          <w:color w:val="333333"/>
          <w:spacing w:val="0"/>
          <w:kern w:val="0"/>
          <w:sz w:val="44"/>
          <w:szCs w:val="44"/>
          <w:bdr w:val="none" w:color="auto" w:sz="0" w:space="0"/>
          <w:shd w:val="clear" w:fill="FFFFFF"/>
          <w:lang w:val="en-US" w:eastAsia="zh-CN" w:bidi="ar"/>
        </w:rPr>
      </w:pPr>
      <w:r>
        <w:rPr>
          <w:rFonts w:hint="eastAsia" w:ascii="微软雅黑" w:hAnsi="微软雅黑" w:eastAsia="微软雅黑" w:cs="微软雅黑"/>
          <w:b/>
          <w:bCs/>
          <w:i w:val="0"/>
          <w:iCs w:val="0"/>
          <w:caps w:val="0"/>
          <w:color w:val="333333"/>
          <w:spacing w:val="0"/>
          <w:kern w:val="0"/>
          <w:sz w:val="44"/>
          <w:szCs w:val="44"/>
          <w:bdr w:val="none" w:color="auto" w:sz="0" w:space="0"/>
          <w:shd w:val="clear" w:fill="FFFFFF"/>
          <w:lang w:val="en-US" w:eastAsia="zh-CN" w:bidi="ar"/>
        </w:rPr>
        <w:t>学校食品安全工作考核表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Fonts w:hint="eastAsia" w:ascii="微软雅黑" w:hAnsi="微软雅黑" w:eastAsia="微软雅黑" w:cs="微软雅黑"/>
          <w:b/>
          <w:bCs/>
          <w:i w:val="0"/>
          <w:iCs w:val="0"/>
          <w:caps w:val="0"/>
          <w:color w:val="333333"/>
          <w:spacing w:val="0"/>
          <w:kern w:val="0"/>
          <w:sz w:val="44"/>
          <w:szCs w:val="44"/>
          <w:bdr w:val="none" w:color="auto" w:sz="0" w:space="0"/>
          <w:shd w:val="clear" w:fill="FFFFFF"/>
          <w:lang w:val="en-US" w:eastAsia="zh-CN" w:bidi="ar"/>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 w:lineRule="atLeast"/>
        <w:ind w:left="0" w:right="0"/>
        <w:jc w:val="center"/>
      </w:pPr>
      <w:r>
        <w:rPr>
          <w:rFonts w:ascii="Helvetica" w:hAnsi="Helvetica" w:eastAsia="Helvetica" w:cs="Helvetica"/>
          <w:b/>
          <w:bCs/>
          <w:i w:val="0"/>
          <w:iCs w:val="0"/>
          <w:caps w:val="0"/>
          <w:color w:val="000000"/>
          <w:spacing w:val="0"/>
          <w:sz w:val="24"/>
          <w:szCs w:val="24"/>
          <w:bdr w:val="none" w:color="auto" w:sz="0" w:space="0"/>
          <w:shd w:val="clear" w:fill="FFFFFF"/>
        </w:rPr>
        <w:t>食品安全管理工作考核表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jc w:val="center"/>
      </w:pPr>
      <w:r>
        <w:rPr>
          <w:rFonts w:ascii="宋体" w:hAnsi="宋体" w:eastAsia="宋体" w:cs="宋体"/>
          <w:i w:val="0"/>
          <w:iCs w:val="0"/>
          <w:caps w:val="0"/>
          <w:color w:val="000000"/>
          <w:spacing w:val="0"/>
          <w:sz w:val="24"/>
          <w:szCs w:val="24"/>
          <w:bdr w:val="none" w:color="auto" w:sz="0" w:space="0"/>
          <w:shd w:val="clear" w:fill="FFFFFF"/>
        </w:rPr>
        <w:t>被考核单位名称(中小学、幼儿园、其他)： 20 年 月 日</w:t>
      </w:r>
    </w:p>
    <w:tbl>
      <w:tblPr>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628"/>
        <w:gridCol w:w="2817"/>
        <w:gridCol w:w="3650"/>
        <w:gridCol w:w="65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62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项目</w:t>
            </w:r>
          </w:p>
        </w:tc>
        <w:tc>
          <w:tcPr>
            <w:tcW w:w="2817"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标准</w:t>
            </w:r>
          </w:p>
        </w:tc>
        <w:tc>
          <w:tcPr>
            <w:tcW w:w="3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细则</w:t>
            </w:r>
          </w:p>
        </w:tc>
        <w:tc>
          <w:tcPr>
            <w:tcW w:w="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自评得分</w:t>
            </w:r>
          </w:p>
        </w:tc>
        <w:tc>
          <w:tcPr>
            <w:tcW w:w="7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考评得分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28"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领导重视</w:t>
            </w:r>
          </w:p>
        </w:tc>
        <w:tc>
          <w:tcPr>
            <w:tcW w:w="2817"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学校主要领导负总责，主持召开食品安全工作会议，参加食品安全整治行动</w:t>
            </w:r>
          </w:p>
        </w:tc>
        <w:tc>
          <w:tcPr>
            <w:tcW w:w="3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会议全年不少于4次（查记录），少一次扣0.5分；参加整治行动2次以上，少一次扣1分，扣完为止（查方案）</w:t>
            </w:r>
          </w:p>
        </w:tc>
        <w:tc>
          <w:tcPr>
            <w:tcW w:w="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c>
          <w:tcPr>
            <w:tcW w:w="7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628" w:type="dxa"/>
            <w:vMerge w:val="continue"/>
            <w:shd w:val="clear"/>
            <w:tcMar>
              <w:top w:w="30" w:type="dxa"/>
              <w:left w:w="75" w:type="dxa"/>
              <w:bottom w:w="30" w:type="dxa"/>
              <w:right w:w="75" w:type="dxa"/>
            </w:tcMar>
            <w:vAlign w:val="top"/>
          </w:tcPr>
          <w:p>
            <w:pPr>
              <w:rPr>
                <w:rFonts w:hint="eastAsia" w:ascii="宋体"/>
                <w:sz w:val="21"/>
                <w:szCs w:val="21"/>
              </w:rPr>
            </w:pPr>
          </w:p>
        </w:tc>
        <w:tc>
          <w:tcPr>
            <w:tcW w:w="2817"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明确一名班子成员主抓食品安全工作（5）分</w:t>
            </w:r>
          </w:p>
        </w:tc>
        <w:tc>
          <w:tcPr>
            <w:tcW w:w="3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未按要求明确分管领导的扣2分，参加活动2次以上，少一次扣1分（查文件或记录），扣完为止</w:t>
            </w:r>
          </w:p>
        </w:tc>
        <w:tc>
          <w:tcPr>
            <w:tcW w:w="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c>
          <w:tcPr>
            <w:tcW w:w="7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628" w:type="dxa"/>
            <w:vMerge w:val="continue"/>
            <w:shd w:val="clear"/>
            <w:tcMar>
              <w:top w:w="30" w:type="dxa"/>
              <w:left w:w="75" w:type="dxa"/>
              <w:bottom w:w="30" w:type="dxa"/>
              <w:right w:w="75" w:type="dxa"/>
            </w:tcMar>
            <w:vAlign w:val="top"/>
          </w:tcPr>
          <w:p>
            <w:pPr>
              <w:rPr>
                <w:rFonts w:hint="eastAsia" w:ascii="宋体"/>
                <w:sz w:val="21"/>
                <w:szCs w:val="21"/>
              </w:rPr>
            </w:pPr>
          </w:p>
        </w:tc>
        <w:tc>
          <w:tcPr>
            <w:tcW w:w="2817"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明确主管部门，落实岗位责任制（8分）</w:t>
            </w:r>
          </w:p>
        </w:tc>
        <w:tc>
          <w:tcPr>
            <w:tcW w:w="3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未明确主管部门的扣3分；岗位责任未落实到人的扣5分</w:t>
            </w:r>
          </w:p>
        </w:tc>
        <w:tc>
          <w:tcPr>
            <w:tcW w:w="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c>
          <w:tcPr>
            <w:tcW w:w="7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28" w:type="dxa"/>
            <w:vMerge w:val="restart"/>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工作情况</w:t>
            </w:r>
          </w:p>
        </w:tc>
        <w:tc>
          <w:tcPr>
            <w:tcW w:w="2817"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制定年度工作计划（方案）或工作要点</w:t>
            </w:r>
          </w:p>
        </w:tc>
        <w:tc>
          <w:tcPr>
            <w:tcW w:w="3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未制定方案的扣2分，上报不及时的扣1分，扣完为止</w:t>
            </w:r>
          </w:p>
        </w:tc>
        <w:tc>
          <w:tcPr>
            <w:tcW w:w="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c>
          <w:tcPr>
            <w:tcW w:w="7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28" w:type="dxa"/>
            <w:vMerge w:val="continue"/>
            <w:shd w:val="clear"/>
            <w:tcMar>
              <w:top w:w="30" w:type="dxa"/>
              <w:left w:w="75" w:type="dxa"/>
              <w:bottom w:w="30" w:type="dxa"/>
              <w:right w:w="75" w:type="dxa"/>
            </w:tcMar>
            <w:vAlign w:val="top"/>
          </w:tcPr>
          <w:p>
            <w:pPr>
              <w:rPr>
                <w:rFonts w:hint="eastAsia" w:ascii="宋体"/>
                <w:sz w:val="21"/>
                <w:szCs w:val="21"/>
              </w:rPr>
            </w:pPr>
          </w:p>
        </w:tc>
        <w:tc>
          <w:tcPr>
            <w:tcW w:w="2817"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完成本职工作和相关部门及本系统交办的食品安全整改任务和群众举报事件查处等工作任务，及时上报和妥善处理食品安全事故，食品安全事故投诉处理率达100%（5分）</w:t>
            </w:r>
          </w:p>
        </w:tc>
        <w:tc>
          <w:tcPr>
            <w:tcW w:w="3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未完成交办工作一次扣1分，未按照要求反馈交办结果一次扣0.5分，扣完3分为止，食品安全事故未按照要求上报，有一次扣1分，处置不当造成不良后果的有一次扣2分，扣完为止</w:t>
            </w:r>
          </w:p>
        </w:tc>
        <w:tc>
          <w:tcPr>
            <w:tcW w:w="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c>
          <w:tcPr>
            <w:tcW w:w="7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28" w:type="dxa"/>
            <w:vMerge w:val="continue"/>
            <w:shd w:val="clear"/>
            <w:tcMar>
              <w:top w:w="30" w:type="dxa"/>
              <w:left w:w="75" w:type="dxa"/>
              <w:bottom w:w="30" w:type="dxa"/>
              <w:right w:w="75" w:type="dxa"/>
            </w:tcMar>
            <w:vAlign w:val="top"/>
          </w:tcPr>
          <w:p>
            <w:pPr>
              <w:rPr>
                <w:rFonts w:hint="eastAsia" w:ascii="宋体"/>
                <w:sz w:val="21"/>
                <w:szCs w:val="21"/>
              </w:rPr>
            </w:pPr>
          </w:p>
        </w:tc>
        <w:tc>
          <w:tcPr>
            <w:tcW w:w="2817"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按要求参加各级组织的各项会议和联合专项整治活动（5分）</w:t>
            </w:r>
          </w:p>
        </w:tc>
        <w:tc>
          <w:tcPr>
            <w:tcW w:w="3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未按要求参加的，有一次扣0.5分，迟到、早退一次，扣0.5分，缺席一次扣1分，扣完为止</w:t>
            </w:r>
          </w:p>
        </w:tc>
        <w:tc>
          <w:tcPr>
            <w:tcW w:w="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c>
          <w:tcPr>
            <w:tcW w:w="7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28" w:type="dxa"/>
            <w:vMerge w:val="continue"/>
            <w:shd w:val="clear"/>
            <w:tcMar>
              <w:top w:w="30" w:type="dxa"/>
              <w:left w:w="75" w:type="dxa"/>
              <w:bottom w:w="30" w:type="dxa"/>
              <w:right w:w="75" w:type="dxa"/>
            </w:tcMar>
            <w:vAlign w:val="top"/>
          </w:tcPr>
          <w:p>
            <w:pPr>
              <w:rPr>
                <w:rFonts w:hint="eastAsia" w:ascii="宋体"/>
                <w:sz w:val="21"/>
                <w:szCs w:val="21"/>
              </w:rPr>
            </w:pPr>
          </w:p>
        </w:tc>
        <w:tc>
          <w:tcPr>
            <w:tcW w:w="2817"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明确专人负责综合信息工作（5分）</w:t>
            </w:r>
          </w:p>
        </w:tc>
        <w:tc>
          <w:tcPr>
            <w:tcW w:w="3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未明确专人扣1分，7月底前，次年元月底前报送半年、全年工作总结，报送食品安全信息不少于3次，未按要求上报的，少一次扣0.5分，扣完为止</w:t>
            </w:r>
          </w:p>
        </w:tc>
        <w:tc>
          <w:tcPr>
            <w:tcW w:w="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c>
          <w:tcPr>
            <w:tcW w:w="7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28" w:type="dxa"/>
            <w:vMerge w:val="continue"/>
            <w:shd w:val="clear"/>
            <w:tcMar>
              <w:top w:w="30" w:type="dxa"/>
              <w:left w:w="75" w:type="dxa"/>
              <w:bottom w:w="30" w:type="dxa"/>
              <w:right w:w="75" w:type="dxa"/>
            </w:tcMar>
            <w:vAlign w:val="top"/>
          </w:tcPr>
          <w:p>
            <w:pPr>
              <w:rPr>
                <w:rFonts w:hint="eastAsia" w:ascii="宋体"/>
                <w:sz w:val="21"/>
                <w:szCs w:val="21"/>
              </w:rPr>
            </w:pPr>
          </w:p>
        </w:tc>
        <w:tc>
          <w:tcPr>
            <w:tcW w:w="2817"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明确食品安全管理职责，坚持领导班子及成员陪餐制度（5分）</w:t>
            </w:r>
          </w:p>
        </w:tc>
        <w:tc>
          <w:tcPr>
            <w:tcW w:w="3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未落实的扣5分，不完善扣2分</w:t>
            </w:r>
          </w:p>
        </w:tc>
        <w:tc>
          <w:tcPr>
            <w:tcW w:w="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c>
          <w:tcPr>
            <w:tcW w:w="7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28" w:type="dxa"/>
            <w:vMerge w:val="continue"/>
            <w:shd w:val="clear"/>
            <w:tcMar>
              <w:top w:w="30" w:type="dxa"/>
              <w:left w:w="75" w:type="dxa"/>
              <w:bottom w:w="30" w:type="dxa"/>
              <w:right w:w="75" w:type="dxa"/>
            </w:tcMar>
            <w:vAlign w:val="top"/>
          </w:tcPr>
          <w:p>
            <w:pPr>
              <w:rPr>
                <w:rFonts w:hint="eastAsia" w:ascii="宋体"/>
                <w:sz w:val="21"/>
                <w:szCs w:val="21"/>
              </w:rPr>
            </w:pPr>
          </w:p>
        </w:tc>
        <w:tc>
          <w:tcPr>
            <w:tcW w:w="2817"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完成2021年食品安全工作目标，无食品安全事故（8分）</w:t>
            </w:r>
          </w:p>
        </w:tc>
        <w:tc>
          <w:tcPr>
            <w:tcW w:w="3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未完成一项的扣5分，扣完为止</w:t>
            </w:r>
          </w:p>
        </w:tc>
        <w:tc>
          <w:tcPr>
            <w:tcW w:w="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c>
          <w:tcPr>
            <w:tcW w:w="7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28" w:type="dxa"/>
            <w:vMerge w:val="continue"/>
            <w:shd w:val="clear"/>
            <w:tcMar>
              <w:top w:w="30" w:type="dxa"/>
              <w:left w:w="75" w:type="dxa"/>
              <w:bottom w:w="30" w:type="dxa"/>
              <w:right w:w="75" w:type="dxa"/>
            </w:tcMar>
            <w:vAlign w:val="top"/>
          </w:tcPr>
          <w:p>
            <w:pPr>
              <w:rPr>
                <w:rFonts w:hint="eastAsia" w:ascii="宋体"/>
                <w:sz w:val="21"/>
                <w:szCs w:val="21"/>
              </w:rPr>
            </w:pPr>
          </w:p>
        </w:tc>
        <w:tc>
          <w:tcPr>
            <w:tcW w:w="2817"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校主要领导和相关部门签订食品安全责任状，建立学校食品安全管理机构（食品安全管理员办公室）和食品安全管理制度（15分）</w:t>
            </w:r>
          </w:p>
        </w:tc>
        <w:tc>
          <w:tcPr>
            <w:tcW w:w="3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未签订责任状扣4分，未建立相应的领导机构扣5分，未建立完善的管理制度扣5分，扣完为止</w:t>
            </w:r>
          </w:p>
        </w:tc>
        <w:tc>
          <w:tcPr>
            <w:tcW w:w="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c>
          <w:tcPr>
            <w:tcW w:w="7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28" w:type="dxa"/>
            <w:vMerge w:val="continue"/>
            <w:shd w:val="clear"/>
            <w:tcMar>
              <w:top w:w="30" w:type="dxa"/>
              <w:left w:w="75" w:type="dxa"/>
              <w:bottom w:w="30" w:type="dxa"/>
              <w:right w:w="75" w:type="dxa"/>
            </w:tcMar>
            <w:vAlign w:val="top"/>
          </w:tcPr>
          <w:p>
            <w:pPr>
              <w:rPr>
                <w:rFonts w:hint="eastAsia" w:ascii="宋体"/>
                <w:sz w:val="21"/>
                <w:szCs w:val="21"/>
              </w:rPr>
            </w:pPr>
          </w:p>
        </w:tc>
        <w:tc>
          <w:tcPr>
            <w:tcW w:w="2817"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学校食品安全监管达标，监控设施齐全，明厨亮灶工作完成，从业人员持证上岗，食堂合法经营（15分）</w:t>
            </w:r>
          </w:p>
        </w:tc>
        <w:tc>
          <w:tcPr>
            <w:tcW w:w="3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食品安全监控设施不达标的扣5分，未对从业人员培训的扣2分，未取得执照的扣10分，从业人员无健康证的，有一人扣2分</w:t>
            </w:r>
          </w:p>
        </w:tc>
        <w:tc>
          <w:tcPr>
            <w:tcW w:w="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c>
          <w:tcPr>
            <w:tcW w:w="7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28" w:type="dxa"/>
            <w:vMerge w:val="continue"/>
            <w:shd w:val="clear"/>
            <w:tcMar>
              <w:top w:w="30" w:type="dxa"/>
              <w:left w:w="75" w:type="dxa"/>
              <w:bottom w:w="30" w:type="dxa"/>
              <w:right w:w="75" w:type="dxa"/>
            </w:tcMar>
            <w:vAlign w:val="top"/>
          </w:tcPr>
          <w:p>
            <w:pPr>
              <w:rPr>
                <w:rFonts w:hint="eastAsia" w:ascii="宋体"/>
                <w:sz w:val="21"/>
                <w:szCs w:val="21"/>
              </w:rPr>
            </w:pPr>
          </w:p>
        </w:tc>
        <w:tc>
          <w:tcPr>
            <w:tcW w:w="2817"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学校食堂建设规范性的食品经营档案，中小学、幼儿园食堂不得对外承包（15分）</w:t>
            </w:r>
          </w:p>
        </w:tc>
        <w:tc>
          <w:tcPr>
            <w:tcW w:w="3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学校未建立食品安全档案扣3分，未建立索证索票验证制度或不健全的扣5分，食堂对外承包的扣15分，扣完为止</w:t>
            </w:r>
          </w:p>
        </w:tc>
        <w:tc>
          <w:tcPr>
            <w:tcW w:w="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c>
          <w:tcPr>
            <w:tcW w:w="7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28" w:type="dxa"/>
            <w:vMerge w:val="continue"/>
            <w:shd w:val="clear"/>
            <w:tcMar>
              <w:top w:w="30" w:type="dxa"/>
              <w:left w:w="75" w:type="dxa"/>
              <w:bottom w:w="30" w:type="dxa"/>
              <w:right w:w="75" w:type="dxa"/>
            </w:tcMar>
            <w:vAlign w:val="top"/>
          </w:tcPr>
          <w:p>
            <w:pPr>
              <w:rPr>
                <w:rFonts w:hint="eastAsia" w:ascii="宋体"/>
                <w:sz w:val="21"/>
                <w:szCs w:val="21"/>
              </w:rPr>
            </w:pPr>
          </w:p>
        </w:tc>
        <w:tc>
          <w:tcPr>
            <w:tcW w:w="2817"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学校食堂食品原料严格执行定点采购，必须有采购合同，不得采购“三无”产品。过期变质产品及没有SC标志食品（10分）</w:t>
            </w:r>
          </w:p>
        </w:tc>
        <w:tc>
          <w:tcPr>
            <w:tcW w:w="3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hint="default" w:ascii="Times New Roman" w:hAnsi="Times New Roman" w:cs="Times New Roman"/>
                <w:sz w:val="21"/>
                <w:szCs w:val="21"/>
                <w:bdr w:val="none" w:color="auto" w:sz="0" w:space="0"/>
              </w:rPr>
              <w:t>未定点采购的扣10分分，扣完为止，“三无”产品进校园的，扣10分（从总分中扣取），发现有超期食品的扣（从总分中扣取）10分</w:t>
            </w:r>
          </w:p>
        </w:tc>
        <w:tc>
          <w:tcPr>
            <w:tcW w:w="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c>
          <w:tcPr>
            <w:tcW w:w="7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628"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ascii="宋体" w:hAnsi="宋体" w:eastAsia="宋体" w:cs="宋体"/>
                <w:sz w:val="21"/>
                <w:szCs w:val="21"/>
                <w:bdr w:val="none" w:color="auto" w:sz="0" w:space="0"/>
              </w:rPr>
              <w:t>一票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ascii="宋体" w:hAnsi="宋体" w:eastAsia="宋体" w:cs="宋体"/>
                <w:sz w:val="21"/>
                <w:szCs w:val="21"/>
                <w:bdr w:val="none" w:color="auto" w:sz="0" w:space="0"/>
              </w:rPr>
              <w:t>否决</w:t>
            </w:r>
          </w:p>
        </w:tc>
        <w:tc>
          <w:tcPr>
            <w:tcW w:w="6467" w:type="dxa"/>
            <w:gridSpan w:val="2"/>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r>
              <w:rPr>
                <w:rFonts w:ascii="宋体" w:hAnsi="宋体" w:eastAsia="宋体" w:cs="宋体"/>
                <w:sz w:val="21"/>
                <w:szCs w:val="21"/>
                <w:bdr w:val="none" w:color="auto" w:sz="0" w:space="0"/>
              </w:rPr>
              <w:t>若因学校履行食品安全管理职责不到位，而产生负面舆情、安全事件的，则一票否决</w:t>
            </w:r>
          </w:p>
        </w:tc>
        <w:tc>
          <w:tcPr>
            <w:tcW w:w="6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c>
          <w:tcPr>
            <w:tcW w:w="750" w:type="dxa"/>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PingFang-SC-Regular">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ZjllMzFmMmY0YzFmZTFmZWYxYTRhZTIwMGEzNDQifQ=="/>
  </w:docVars>
  <w:rsids>
    <w:rsidRoot w:val="25610E6F"/>
    <w:rsid w:val="25610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2023-10-15T07:13:00Z</dcterms:created>
  <dc:creator>A 小芳（299送138）</dc:creator>
  <cp:lastModifiedBy>A 小芳（299送138）</cp:lastModifiedBy>
  <dcterms:modified xsi:type="dcterms:W3CDTF">2023-10-15T07:31:14Z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A22EED6310CA406B9530F41A8F76E335_11</vt:lpwstr>
  </property>
</Properties>
</file>